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A41C" w14:textId="06FB6A65" w:rsidR="008B6DD9" w:rsidRDefault="008B6DD9" w:rsidP="008B6DD9">
      <w:pPr>
        <w:jc w:val="center"/>
        <w:rPr>
          <w:b/>
          <w:sz w:val="48"/>
          <w:szCs w:val="48"/>
        </w:rPr>
      </w:pPr>
      <w:r w:rsidRPr="008B6DD9">
        <w:rPr>
          <w:b/>
          <w:sz w:val="48"/>
          <w:szCs w:val="48"/>
        </w:rPr>
        <w:t>Survey Monument Pr</w:t>
      </w:r>
      <w:r w:rsidR="00F47321">
        <w:rPr>
          <w:b/>
          <w:sz w:val="48"/>
          <w:szCs w:val="48"/>
        </w:rPr>
        <w:t>eserva</w:t>
      </w:r>
      <w:r w:rsidRPr="008B6DD9">
        <w:rPr>
          <w:b/>
          <w:sz w:val="48"/>
          <w:szCs w:val="48"/>
        </w:rPr>
        <w:t>tion P</w:t>
      </w:r>
      <w:r w:rsidR="006F10C8">
        <w:rPr>
          <w:b/>
          <w:sz w:val="48"/>
          <w:szCs w:val="48"/>
        </w:rPr>
        <w:t>olicy</w:t>
      </w:r>
    </w:p>
    <w:p w14:paraId="0B94A556" w14:textId="77777777" w:rsidR="008B6DD9" w:rsidRPr="009A0355" w:rsidRDefault="008B6DD9" w:rsidP="008B6DD9">
      <w:pPr>
        <w:jc w:val="center"/>
        <w:rPr>
          <w:sz w:val="28"/>
          <w:szCs w:val="28"/>
        </w:rPr>
      </w:pPr>
      <w:r w:rsidRPr="009A0355">
        <w:rPr>
          <w:sz w:val="28"/>
          <w:szCs w:val="28"/>
        </w:rPr>
        <w:t>S</w:t>
      </w:r>
      <w:r w:rsidR="00D10128">
        <w:rPr>
          <w:sz w:val="28"/>
          <w:szCs w:val="28"/>
        </w:rPr>
        <w:t>uggested Minimum Content</w:t>
      </w:r>
    </w:p>
    <w:p w14:paraId="60977B94" w14:textId="77777777" w:rsidR="008B6DD9" w:rsidRDefault="008B6DD9" w:rsidP="008B6DD9"/>
    <w:p w14:paraId="2E6CC478" w14:textId="77777777" w:rsidR="008B6DD9" w:rsidRDefault="001F4FBF" w:rsidP="009A0355">
      <w:pPr>
        <w:jc w:val="both"/>
      </w:pPr>
      <w:r>
        <w:t xml:space="preserve">Survey monuments are public domain and belong to </w:t>
      </w:r>
      <w:proofErr w:type="gramStart"/>
      <w:r>
        <w:t>all of</w:t>
      </w:r>
      <w:proofErr w:type="gramEnd"/>
      <w:r>
        <w:t xml:space="preserve"> the citizens of Washington State.  </w:t>
      </w:r>
      <w:r w:rsidR="009A0355">
        <w:t xml:space="preserve">RCW </w:t>
      </w:r>
      <w:hyperlink r:id="rId4" w:history="1">
        <w:r w:rsidR="009A0355" w:rsidRPr="00D10128">
          <w:rPr>
            <w:rStyle w:val="Hyperlink"/>
          </w:rPr>
          <w:t>58.24.040(8)</w:t>
        </w:r>
      </w:hyperlink>
      <w:r w:rsidR="005D5447">
        <w:t xml:space="preserve">, RCW </w:t>
      </w:r>
      <w:hyperlink r:id="rId5" w:history="1">
        <w:r w:rsidR="005D5447" w:rsidRPr="005D5447">
          <w:rPr>
            <w:rStyle w:val="Hyperlink"/>
          </w:rPr>
          <w:t>36.86.050</w:t>
        </w:r>
      </w:hyperlink>
      <w:r w:rsidR="005D5447">
        <w:t xml:space="preserve">, </w:t>
      </w:r>
      <w:r w:rsidR="009A0355">
        <w:t xml:space="preserve">and </w:t>
      </w:r>
      <w:hyperlink r:id="rId6" w:history="1">
        <w:r w:rsidR="009A0355" w:rsidRPr="00D10128">
          <w:rPr>
            <w:rStyle w:val="Hyperlink"/>
          </w:rPr>
          <w:t>332-120</w:t>
        </w:r>
      </w:hyperlink>
      <w:r w:rsidR="009A0355">
        <w:t xml:space="preserve"> </w:t>
      </w:r>
      <w:r w:rsidR="008B6DD9">
        <w:t>WAC require county road departments to manage and protect survey monuments located within the county road rights of way</w:t>
      </w:r>
      <w:r>
        <w:t xml:space="preserve">.  No survey monument shall be removed, </w:t>
      </w:r>
      <w:proofErr w:type="gramStart"/>
      <w:r>
        <w:t>destroyed</w:t>
      </w:r>
      <w:proofErr w:type="gramEnd"/>
      <w:r>
        <w:t xml:space="preserve"> or have reasonable access impeded</w:t>
      </w:r>
      <w:r w:rsidR="008B6DD9">
        <w:t xml:space="preserve"> </w:t>
      </w:r>
      <w:r>
        <w:t>before a permit is obtained from the DNR.</w:t>
      </w:r>
      <w:r w:rsidR="002F1991">
        <w:t xml:space="preserve"> The County Engineer, as a licensed professional engineer in the State of Washington, can be held accountable for improper survey monument protection perpetrated by the county road department. </w:t>
      </w:r>
    </w:p>
    <w:p w14:paraId="1DB9F20F" w14:textId="77777777" w:rsidR="00D10128" w:rsidRDefault="00D10128" w:rsidP="009A0355">
      <w:pPr>
        <w:jc w:val="both"/>
      </w:pPr>
    </w:p>
    <w:p w14:paraId="0187E15A" w14:textId="4803A647" w:rsidR="00D10128" w:rsidRDefault="00D10128" w:rsidP="009A0355">
      <w:pPr>
        <w:jc w:val="both"/>
      </w:pPr>
      <w:r>
        <w:t>It is recommended your agency adopt a Survey Monument Pr</w:t>
      </w:r>
      <w:r w:rsidR="00F47321">
        <w:t>eservation</w:t>
      </w:r>
      <w:r w:rsidR="00BF262C">
        <w:t xml:space="preserve"> Policy or</w:t>
      </w:r>
      <w:r>
        <w:t xml:space="preserve"> Plan addressing the following </w:t>
      </w:r>
      <w:r w:rsidR="00F37ADC">
        <w:t>outline</w:t>
      </w:r>
      <w:r>
        <w:t>:</w:t>
      </w:r>
    </w:p>
    <w:p w14:paraId="54DCDA23" w14:textId="77777777" w:rsidR="001F4FBF" w:rsidRDefault="001F4FBF" w:rsidP="008B6DD9"/>
    <w:p w14:paraId="746A58F4" w14:textId="7A384985" w:rsidR="00F37ADC" w:rsidRDefault="00D07F80" w:rsidP="001F4FBF">
      <w:pPr>
        <w:ind w:left="720"/>
      </w:pPr>
      <w:r>
        <w:t>Purpose</w:t>
      </w:r>
    </w:p>
    <w:p w14:paraId="5C696D39" w14:textId="748FB46F" w:rsidR="008568E2" w:rsidRDefault="00F6524B" w:rsidP="00E34ACF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‘</w:t>
      </w:r>
      <w:r w:rsidR="008B6A49" w:rsidRPr="00E34ACF">
        <w:rPr>
          <w:rFonts w:cstheme="minorHAnsi"/>
        </w:rPr>
        <w:t>The purpose of this policy is to ensure that the Department understands its duty to protect and preserve</w:t>
      </w:r>
      <w:r w:rsidR="008D58AE" w:rsidRPr="00E34ACF">
        <w:rPr>
          <w:rFonts w:cstheme="minorHAnsi"/>
        </w:rPr>
        <w:t xml:space="preserve"> </w:t>
      </w:r>
      <w:r w:rsidR="008B6A49" w:rsidRPr="00E34ACF">
        <w:rPr>
          <w:rFonts w:cstheme="minorHAnsi"/>
        </w:rPr>
        <w:t xml:space="preserve">survey monuments </w:t>
      </w:r>
      <w:r w:rsidR="005A399A">
        <w:rPr>
          <w:rFonts w:cstheme="minorHAnsi"/>
        </w:rPr>
        <w:t xml:space="preserve">within the county road right of way </w:t>
      </w:r>
      <w:r w:rsidR="008B6A49" w:rsidRPr="00E34ACF">
        <w:rPr>
          <w:rFonts w:cstheme="minorHAnsi"/>
        </w:rPr>
        <w:t xml:space="preserve">when performing any type of work, but </w:t>
      </w:r>
      <w:proofErr w:type="gramStart"/>
      <w:r w:rsidR="008B6A49" w:rsidRPr="00E34ACF">
        <w:rPr>
          <w:rFonts w:cstheme="minorHAnsi"/>
        </w:rPr>
        <w:t xml:space="preserve">in particular </w:t>
      </w:r>
      <w:r w:rsidR="00E35D93">
        <w:rPr>
          <w:rFonts w:cstheme="minorHAnsi"/>
        </w:rPr>
        <w:t>construction</w:t>
      </w:r>
      <w:proofErr w:type="gramEnd"/>
      <w:r w:rsidR="00E35D93">
        <w:rPr>
          <w:rFonts w:cstheme="minorHAnsi"/>
        </w:rPr>
        <w:t xml:space="preserve"> projects and </w:t>
      </w:r>
      <w:r w:rsidR="008B6A49" w:rsidRPr="00E34ACF">
        <w:rPr>
          <w:rFonts w:cstheme="minorHAnsi"/>
        </w:rPr>
        <w:t>pavement preservation projects</w:t>
      </w:r>
      <w:r w:rsidR="008D58AE" w:rsidRPr="00E34ACF">
        <w:rPr>
          <w:rFonts w:cstheme="minorHAnsi"/>
        </w:rPr>
        <w:t xml:space="preserve"> </w:t>
      </w:r>
      <w:r w:rsidR="008B6A49" w:rsidRPr="00E34ACF">
        <w:rPr>
          <w:rFonts w:cstheme="minorHAnsi"/>
        </w:rPr>
        <w:t xml:space="preserve">where there is a risk that monuments could be </w:t>
      </w:r>
      <w:r>
        <w:rPr>
          <w:rFonts w:cstheme="minorHAnsi"/>
        </w:rPr>
        <w:t xml:space="preserve">disturbed or </w:t>
      </w:r>
      <w:r w:rsidR="008B6A49" w:rsidRPr="00E34ACF">
        <w:rPr>
          <w:rFonts w:cstheme="minorHAnsi"/>
        </w:rPr>
        <w:t>covered</w:t>
      </w:r>
      <w:r>
        <w:rPr>
          <w:rFonts w:cstheme="minorHAnsi"/>
        </w:rPr>
        <w:t>.’</w:t>
      </w:r>
    </w:p>
    <w:p w14:paraId="480A088D" w14:textId="523EC124" w:rsidR="00540AB2" w:rsidRDefault="00540AB2" w:rsidP="00540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846F40" w14:textId="7005FE92" w:rsidR="00566F12" w:rsidRDefault="00566F12" w:rsidP="00540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Relevant Statutes</w:t>
      </w:r>
    </w:p>
    <w:p w14:paraId="3104164F" w14:textId="0D9867AE" w:rsidR="00566F12" w:rsidRDefault="00A0325E" w:rsidP="00540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47447D89" w14:textId="5BA79E56" w:rsidR="00974988" w:rsidRPr="00974988" w:rsidRDefault="00974988" w:rsidP="00974988">
      <w:pPr>
        <w:spacing w:before="75" w:after="150" w:line="240" w:lineRule="auto"/>
        <w:ind w:left="1440"/>
        <w:outlineLvl w:val="2"/>
        <w:rPr>
          <w:rFonts w:eastAsia="Times New Roman" w:cstheme="minorHAnsi"/>
        </w:rPr>
      </w:pPr>
      <w:r w:rsidRPr="00974988">
        <w:rPr>
          <w:rFonts w:eastAsia="Times New Roman" w:cstheme="minorHAnsi"/>
        </w:rPr>
        <w:t>The DNR has rule making responsibility regarding survey monument protection within Washington State.</w:t>
      </w:r>
      <w:r w:rsidR="00733C33">
        <w:rPr>
          <w:rFonts w:eastAsia="Times New Roman" w:cstheme="minorHAnsi"/>
        </w:rPr>
        <w:t xml:space="preserve"> </w:t>
      </w:r>
      <w:r w:rsidRPr="00974988">
        <w:rPr>
          <w:rFonts w:eastAsia="Times New Roman" w:cstheme="minorHAnsi"/>
        </w:rPr>
        <w:t>RCW 58.24</w:t>
      </w:r>
      <w:proofErr w:type="gramStart"/>
      <w:r w:rsidR="00BC4F72">
        <w:rPr>
          <w:rFonts w:eastAsia="Times New Roman" w:cstheme="minorHAnsi"/>
        </w:rPr>
        <w:t xml:space="preserve">,  </w:t>
      </w:r>
      <w:r w:rsidRPr="00974988">
        <w:rPr>
          <w:rFonts w:eastAsia="Times New Roman" w:cstheme="minorHAnsi"/>
        </w:rPr>
        <w:t>RCW</w:t>
      </w:r>
      <w:proofErr w:type="gramEnd"/>
      <w:r w:rsidRPr="00974988">
        <w:rPr>
          <w:rFonts w:eastAsia="Times New Roman" w:cstheme="minorHAnsi"/>
        </w:rPr>
        <w:t xml:space="preserve"> 58.09</w:t>
      </w:r>
      <w:r w:rsidR="00BC4F72">
        <w:rPr>
          <w:rFonts w:eastAsia="Times New Roman" w:cstheme="minorHAnsi"/>
        </w:rPr>
        <w:t xml:space="preserve">,  </w:t>
      </w:r>
      <w:r w:rsidRPr="00974988">
        <w:rPr>
          <w:rFonts w:eastAsia="Times New Roman" w:cstheme="minorHAnsi"/>
        </w:rPr>
        <w:t>332-120 WAC</w:t>
      </w:r>
      <w:r w:rsidR="00C234DF">
        <w:rPr>
          <w:rFonts w:eastAsia="Times New Roman" w:cstheme="minorHAnsi"/>
        </w:rPr>
        <w:t>.</w:t>
      </w:r>
    </w:p>
    <w:p w14:paraId="6C0D8BFD" w14:textId="61AAA055" w:rsidR="00974988" w:rsidRPr="00974988" w:rsidRDefault="00974988" w:rsidP="00C234DF">
      <w:pPr>
        <w:spacing w:before="75" w:after="150" w:line="240" w:lineRule="auto"/>
        <w:ind w:left="1440"/>
        <w:outlineLvl w:val="2"/>
        <w:rPr>
          <w:rFonts w:eastAsia="Times New Roman" w:cstheme="minorHAnsi"/>
        </w:rPr>
      </w:pPr>
      <w:r w:rsidRPr="00974988">
        <w:rPr>
          <w:rFonts w:eastAsia="Times New Roman" w:cstheme="minorHAnsi"/>
        </w:rPr>
        <w:t xml:space="preserve">The Board of Registration for Professional Engineers and Land Surveyors has regulatory over </w:t>
      </w:r>
      <w:r w:rsidRPr="00974988">
        <w:rPr>
          <w:rFonts w:eastAsia="Times New Roman" w:cstheme="minorHAnsi"/>
          <w:u w:val="single"/>
        </w:rPr>
        <w:t>individual</w:t>
      </w:r>
      <w:r w:rsidRPr="00974988">
        <w:rPr>
          <w:rFonts w:eastAsia="Times New Roman" w:cstheme="minorHAnsi"/>
        </w:rPr>
        <w:t xml:space="preserve"> professional engineers and land surveyors regarding monument protection…but lacks authority over public agencies.</w:t>
      </w:r>
      <w:r w:rsidR="0025025F">
        <w:rPr>
          <w:rFonts w:eastAsia="Times New Roman" w:cstheme="minorHAnsi"/>
        </w:rPr>
        <w:t xml:space="preserve">  </w:t>
      </w:r>
      <w:r w:rsidRPr="00974988">
        <w:rPr>
          <w:rFonts w:eastAsia="Times New Roman" w:cstheme="minorHAnsi"/>
        </w:rPr>
        <w:t>RCW 58.09</w:t>
      </w:r>
      <w:proofErr w:type="gramStart"/>
      <w:r w:rsidR="0025025F">
        <w:rPr>
          <w:rFonts w:eastAsia="Times New Roman" w:cstheme="minorHAnsi"/>
        </w:rPr>
        <w:t xml:space="preserve">,  </w:t>
      </w:r>
      <w:r w:rsidRPr="00974988">
        <w:rPr>
          <w:rFonts w:eastAsia="Times New Roman" w:cstheme="minorHAnsi"/>
        </w:rPr>
        <w:t>332</w:t>
      </w:r>
      <w:proofErr w:type="gramEnd"/>
      <w:r w:rsidRPr="00974988">
        <w:rPr>
          <w:rFonts w:eastAsia="Times New Roman" w:cstheme="minorHAnsi"/>
        </w:rPr>
        <w:t>-120 WAC</w:t>
      </w:r>
      <w:r w:rsidR="0025025F">
        <w:rPr>
          <w:rFonts w:eastAsia="Times New Roman" w:cstheme="minorHAnsi"/>
        </w:rPr>
        <w:t>,</w:t>
      </w:r>
      <w:r w:rsidR="00A26DE2">
        <w:rPr>
          <w:rFonts w:eastAsia="Times New Roman" w:cstheme="minorHAnsi"/>
        </w:rPr>
        <w:t xml:space="preserve">       </w:t>
      </w:r>
      <w:r w:rsidRPr="00974988">
        <w:rPr>
          <w:rFonts w:eastAsia="Times New Roman" w:cstheme="minorHAnsi"/>
        </w:rPr>
        <w:t>196-27A-030(5) WAC</w:t>
      </w:r>
      <w:r w:rsidR="00A26DE2">
        <w:rPr>
          <w:rFonts w:eastAsia="Times New Roman" w:cstheme="minorHAnsi"/>
        </w:rPr>
        <w:t xml:space="preserve">,  </w:t>
      </w:r>
      <w:r w:rsidRPr="00974988">
        <w:rPr>
          <w:rFonts w:eastAsia="Times New Roman" w:cstheme="minorHAnsi"/>
        </w:rPr>
        <w:t>RCW 58.04.015</w:t>
      </w:r>
      <w:r w:rsidR="00C234DF">
        <w:rPr>
          <w:rFonts w:eastAsia="Times New Roman" w:cstheme="minorHAnsi"/>
        </w:rPr>
        <w:t>.</w:t>
      </w:r>
    </w:p>
    <w:p w14:paraId="1F56ABD8" w14:textId="7C3B9848" w:rsidR="00974988" w:rsidRPr="00974988" w:rsidRDefault="00974988" w:rsidP="00571DA6">
      <w:pPr>
        <w:spacing w:before="75" w:after="150" w:line="240" w:lineRule="auto"/>
        <w:ind w:left="1440"/>
        <w:outlineLvl w:val="2"/>
        <w:rPr>
          <w:rFonts w:eastAsia="Times New Roman" w:cstheme="minorHAnsi"/>
        </w:rPr>
      </w:pPr>
      <w:r w:rsidRPr="00974988">
        <w:rPr>
          <w:rFonts w:eastAsia="Times New Roman" w:cstheme="minorHAnsi"/>
        </w:rPr>
        <w:t xml:space="preserve">The </w:t>
      </w:r>
      <w:proofErr w:type="spellStart"/>
      <w:r w:rsidRPr="00974988">
        <w:rPr>
          <w:rFonts w:eastAsia="Times New Roman" w:cstheme="minorHAnsi"/>
        </w:rPr>
        <w:t>CRABoard</w:t>
      </w:r>
      <w:proofErr w:type="spellEnd"/>
      <w:r w:rsidRPr="00974988">
        <w:rPr>
          <w:rFonts w:eastAsia="Times New Roman" w:cstheme="minorHAnsi"/>
        </w:rPr>
        <w:t xml:space="preserve"> has regulatory authority over Counties/county road departments regarding “</w:t>
      </w:r>
      <w:r w:rsidRPr="00974988">
        <w:rPr>
          <w:rFonts w:eastAsia="Times New Roman" w:cstheme="minorHAnsi"/>
          <w:u w:val="single"/>
        </w:rPr>
        <w:t xml:space="preserve">provisions of law relating to county road administration </w:t>
      </w:r>
      <w:r w:rsidRPr="00974988">
        <w:rPr>
          <w:rFonts w:eastAsia="Times New Roman" w:cstheme="minorHAnsi"/>
        </w:rPr>
        <w:t>and the standards of good practice”.</w:t>
      </w:r>
      <w:r w:rsidRPr="00974988">
        <w:rPr>
          <w:rFonts w:eastAsia="Times New Roman" w:cstheme="minorHAnsi"/>
        </w:rPr>
        <w:tab/>
        <w:t>RCW’s 36.78.070(3), 090(1)(b), 100</w:t>
      </w:r>
      <w:r w:rsidR="00571DA6">
        <w:rPr>
          <w:rFonts w:eastAsia="Times New Roman" w:cstheme="minorHAnsi"/>
        </w:rPr>
        <w:t xml:space="preserve">,  </w:t>
      </w:r>
      <w:r w:rsidRPr="00974988">
        <w:rPr>
          <w:rFonts w:eastAsia="Times New Roman" w:cstheme="minorHAnsi"/>
        </w:rPr>
        <w:t>RCW 36.86.050</w:t>
      </w:r>
      <w:r w:rsidR="00571DA6">
        <w:rPr>
          <w:rFonts w:eastAsia="Times New Roman" w:cstheme="minorHAnsi"/>
        </w:rPr>
        <w:t xml:space="preserve">,  </w:t>
      </w:r>
      <w:r w:rsidRPr="00974988">
        <w:rPr>
          <w:rFonts w:eastAsia="Times New Roman" w:cstheme="minorHAnsi"/>
        </w:rPr>
        <w:t>RCW 58.09</w:t>
      </w:r>
      <w:r w:rsidR="00571DA6">
        <w:rPr>
          <w:rFonts w:eastAsia="Times New Roman" w:cstheme="minorHAnsi"/>
        </w:rPr>
        <w:t>,</w:t>
      </w:r>
      <w:r w:rsidR="00C234DF">
        <w:rPr>
          <w:rFonts w:eastAsia="Times New Roman" w:cstheme="minorHAnsi"/>
        </w:rPr>
        <w:t xml:space="preserve">     </w:t>
      </w:r>
      <w:r w:rsidRPr="00974988">
        <w:rPr>
          <w:rFonts w:eastAsia="Times New Roman" w:cstheme="minorHAnsi"/>
        </w:rPr>
        <w:t>332-132 WAC</w:t>
      </w:r>
      <w:r w:rsidR="000D5F73">
        <w:rPr>
          <w:rFonts w:eastAsia="Times New Roman" w:cstheme="minorHAnsi"/>
        </w:rPr>
        <w:t>, 136-50-050</w:t>
      </w:r>
      <w:r w:rsidR="00BD389C">
        <w:rPr>
          <w:rFonts w:eastAsia="Times New Roman" w:cstheme="minorHAnsi"/>
        </w:rPr>
        <w:t>(5) WAC.</w:t>
      </w:r>
    </w:p>
    <w:p w14:paraId="062B8723" w14:textId="5B0B368F" w:rsidR="00566F12" w:rsidRDefault="00566F12" w:rsidP="00540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907920" w14:textId="456E374E" w:rsidR="00566F12" w:rsidRDefault="006F0F1C" w:rsidP="00540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Training</w:t>
      </w:r>
      <w:r w:rsidR="00ED4910">
        <w:rPr>
          <w:rFonts w:cstheme="minorHAnsi"/>
        </w:rPr>
        <w:t xml:space="preserve"> of Staff</w:t>
      </w:r>
      <w:r>
        <w:rPr>
          <w:rFonts w:cstheme="minorHAnsi"/>
        </w:rPr>
        <w:t xml:space="preserve"> – the importance of and the law </w:t>
      </w:r>
      <w:r w:rsidR="00E83930">
        <w:rPr>
          <w:rFonts w:cstheme="minorHAnsi"/>
        </w:rPr>
        <w:t>regarding survey monuments</w:t>
      </w:r>
      <w:r w:rsidR="00B11DDD">
        <w:rPr>
          <w:rFonts w:cstheme="minorHAnsi"/>
        </w:rPr>
        <w:t xml:space="preserve"> and your policy</w:t>
      </w:r>
    </w:p>
    <w:p w14:paraId="46A1381F" w14:textId="31F2D35B" w:rsidR="006F0F1C" w:rsidRDefault="006F0F1C" w:rsidP="00540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A31895" w14:textId="2E3ADB27" w:rsidR="006F0F1C" w:rsidRDefault="006F0F1C" w:rsidP="00540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E0730">
        <w:rPr>
          <w:rFonts w:cstheme="minorHAnsi"/>
        </w:rPr>
        <w:t>Engineering Staff</w:t>
      </w:r>
    </w:p>
    <w:p w14:paraId="22F633D2" w14:textId="313CEA4F" w:rsidR="001E0730" w:rsidRDefault="001E0730" w:rsidP="00540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Survey Staff</w:t>
      </w:r>
    </w:p>
    <w:p w14:paraId="08F5ADE5" w14:textId="3B25C1A2" w:rsidR="001E0730" w:rsidRDefault="001E0730" w:rsidP="00540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Maintenance and Operations Staff</w:t>
      </w:r>
    </w:p>
    <w:p w14:paraId="211B88E0" w14:textId="0EB347B3" w:rsidR="00E34ACF" w:rsidRDefault="000C2FC9" w:rsidP="000C2F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ab/>
        <w:t>Survey</w:t>
      </w:r>
      <w:r w:rsidR="00486FC4">
        <w:rPr>
          <w:rFonts w:cstheme="minorHAnsi"/>
        </w:rPr>
        <w:t xml:space="preserve"> and Engineering</w:t>
      </w:r>
      <w:r>
        <w:rPr>
          <w:rFonts w:cstheme="minorHAnsi"/>
        </w:rPr>
        <w:t xml:space="preserve"> Community Engagement</w:t>
      </w:r>
    </w:p>
    <w:p w14:paraId="035291CF" w14:textId="7677A614" w:rsidR="000C2FC9" w:rsidRDefault="000C2FC9" w:rsidP="000C2F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2B502A" w14:textId="158CCD38" w:rsidR="000C2FC9" w:rsidRDefault="00C301EB" w:rsidP="00EC2A03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Procedures for private surveyors</w:t>
      </w:r>
      <w:r w:rsidR="000F094B">
        <w:rPr>
          <w:rFonts w:cstheme="minorHAnsi"/>
        </w:rPr>
        <w:t>, engineers,</w:t>
      </w:r>
      <w:r>
        <w:rPr>
          <w:rFonts w:cstheme="minorHAnsi"/>
        </w:rPr>
        <w:t xml:space="preserve"> or others to </w:t>
      </w:r>
      <w:r w:rsidR="00130593">
        <w:rPr>
          <w:rFonts w:cstheme="minorHAnsi"/>
        </w:rPr>
        <w:t xml:space="preserve">report issues encountered with survey monuments </w:t>
      </w:r>
      <w:r w:rsidR="00EE3219">
        <w:rPr>
          <w:rFonts w:cstheme="minorHAnsi"/>
        </w:rPr>
        <w:t>within the county road right of way</w:t>
      </w:r>
      <w:r w:rsidR="007A3531">
        <w:rPr>
          <w:rFonts w:cstheme="minorHAnsi"/>
        </w:rPr>
        <w:t xml:space="preserve">.  </w:t>
      </w:r>
      <w:proofErr w:type="gramStart"/>
      <w:r w:rsidR="007A3531">
        <w:rPr>
          <w:rFonts w:cstheme="minorHAnsi"/>
        </w:rPr>
        <w:t>i.e.</w:t>
      </w:r>
      <w:proofErr w:type="gramEnd"/>
      <w:r w:rsidR="007A3531">
        <w:rPr>
          <w:rFonts w:cstheme="minorHAnsi"/>
        </w:rPr>
        <w:t xml:space="preserve"> buried monument</w:t>
      </w:r>
      <w:r w:rsidR="00E55420">
        <w:rPr>
          <w:rFonts w:cstheme="minorHAnsi"/>
        </w:rPr>
        <w:t xml:space="preserve"> in a paved surface</w:t>
      </w:r>
      <w:r w:rsidR="000216A1">
        <w:rPr>
          <w:rFonts w:cstheme="minorHAnsi"/>
        </w:rPr>
        <w:t>, damaged case and cover</w:t>
      </w:r>
      <w:r w:rsidR="0063331C">
        <w:rPr>
          <w:rFonts w:cstheme="minorHAnsi"/>
        </w:rPr>
        <w:t>, etc.</w:t>
      </w:r>
    </w:p>
    <w:p w14:paraId="24545EB2" w14:textId="77777777" w:rsidR="006563F2" w:rsidRPr="00E34ACF" w:rsidRDefault="006563F2" w:rsidP="00EC2A03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5F0C762B" w14:textId="19DCE12A" w:rsidR="000C59D1" w:rsidRDefault="000C59D1" w:rsidP="00D22D13">
      <w:pPr>
        <w:ind w:left="1440"/>
      </w:pPr>
      <w:r>
        <w:t>The County does have a duty to address legacy issues from past road department practices once identified.</w:t>
      </w:r>
    </w:p>
    <w:p w14:paraId="7C1E3D3D" w14:textId="200B1B82" w:rsidR="00D10128" w:rsidRDefault="00D10128" w:rsidP="00C53013">
      <w:pPr>
        <w:ind w:left="1440"/>
      </w:pPr>
      <w:r>
        <w:t>Procedure for correcting identified legacy issues.</w:t>
      </w:r>
      <w:r w:rsidR="00CE1F7A">
        <w:t xml:space="preserve">  </w:t>
      </w:r>
      <w:proofErr w:type="gramStart"/>
      <w:r w:rsidR="00CE1F7A">
        <w:t>i.e.</w:t>
      </w:r>
      <w:proofErr w:type="gramEnd"/>
      <w:r w:rsidR="00CE1F7A">
        <w:t xml:space="preserve"> raising, mon</w:t>
      </w:r>
      <w:r w:rsidR="000A7B71">
        <w:t>ument</w:t>
      </w:r>
      <w:r w:rsidR="00CE1F7A">
        <w:t xml:space="preserve"> case and cover</w:t>
      </w:r>
      <w:r w:rsidR="000A7B71">
        <w:t>, assessing for disturbance and not</w:t>
      </w:r>
      <w:r w:rsidR="00BA70BE">
        <w:t>ification of SOR if possible.</w:t>
      </w:r>
    </w:p>
    <w:p w14:paraId="2F204366" w14:textId="22AE5CE0" w:rsidR="009A0355" w:rsidRDefault="00EF0CCF" w:rsidP="001F4FBF">
      <w:pPr>
        <w:ind w:left="720"/>
      </w:pPr>
      <w:r>
        <w:t xml:space="preserve">Procedures for Maintenance and Construction </w:t>
      </w:r>
      <w:r w:rsidR="009D27FB">
        <w:t>Projects</w:t>
      </w:r>
    </w:p>
    <w:p w14:paraId="162DBC64" w14:textId="354D1EBD" w:rsidR="009D27FB" w:rsidRDefault="00F14CF9" w:rsidP="001F4FBF">
      <w:pPr>
        <w:ind w:left="720"/>
      </w:pPr>
      <w:r>
        <w:tab/>
      </w:r>
      <w:r w:rsidR="00300C3E">
        <w:t xml:space="preserve">Records research – </w:t>
      </w:r>
      <w:r w:rsidR="00E2586C">
        <w:t>D</w:t>
      </w:r>
      <w:r w:rsidR="00300C3E">
        <w:t xml:space="preserve">ue </w:t>
      </w:r>
      <w:r w:rsidR="00E2586C">
        <w:t>D</w:t>
      </w:r>
      <w:r w:rsidR="00300C3E">
        <w:t>iligence.</w:t>
      </w:r>
      <w:r w:rsidR="006F57CE">
        <w:t xml:space="preserve"> Record Keeping if applica</w:t>
      </w:r>
      <w:r w:rsidR="00E2586C">
        <w:t>ble.</w:t>
      </w:r>
    </w:p>
    <w:p w14:paraId="5F2DF8E5" w14:textId="5D0138B6" w:rsidR="00300C3E" w:rsidRDefault="00300C3E" w:rsidP="001F4FBF">
      <w:pPr>
        <w:ind w:left="720"/>
      </w:pPr>
      <w:r>
        <w:tab/>
        <w:t xml:space="preserve">Physical </w:t>
      </w:r>
      <w:r w:rsidR="00603F6A">
        <w:t>Si</w:t>
      </w:r>
      <w:r>
        <w:t xml:space="preserve">te </w:t>
      </w:r>
      <w:r w:rsidR="00603F6A">
        <w:t>Inspection</w:t>
      </w:r>
    </w:p>
    <w:p w14:paraId="12E98166" w14:textId="788BB64D" w:rsidR="00603F6A" w:rsidRDefault="00603F6A" w:rsidP="001F4FBF">
      <w:pPr>
        <w:ind w:left="720"/>
      </w:pPr>
      <w:r>
        <w:tab/>
      </w:r>
      <w:r w:rsidR="007C3372">
        <w:t xml:space="preserve">Procedures for </w:t>
      </w:r>
      <w:r w:rsidR="007D003D">
        <w:t>P</w:t>
      </w:r>
      <w:r w:rsidR="007C3372">
        <w:t>rotection</w:t>
      </w:r>
      <w:r w:rsidR="007D003D">
        <w:t xml:space="preserve"> During Operations</w:t>
      </w:r>
    </w:p>
    <w:p w14:paraId="22DD8E8D" w14:textId="6B07B3B7" w:rsidR="00375725" w:rsidRDefault="00375725" w:rsidP="001F4FBF">
      <w:pPr>
        <w:ind w:left="720"/>
      </w:pPr>
      <w:r>
        <w:tab/>
      </w:r>
      <w:r>
        <w:tab/>
        <w:t xml:space="preserve">DNR-PLSO MOU for surfacing </w:t>
      </w:r>
      <w:r w:rsidR="007F29BF">
        <w:t>operations</w:t>
      </w:r>
    </w:p>
    <w:p w14:paraId="596DAC27" w14:textId="4E87113C" w:rsidR="000C59D1" w:rsidRPr="008B6DD9" w:rsidRDefault="009A0355" w:rsidP="001F4FBF">
      <w:pPr>
        <w:ind w:left="720"/>
      </w:pPr>
      <w:r>
        <w:t>Follow DNR’s available permitting procedures and options</w:t>
      </w:r>
      <w:r w:rsidR="00D15B57">
        <w:t xml:space="preserve"> for </w:t>
      </w:r>
      <w:r w:rsidR="00835F3C">
        <w:t>disturbing, destroying,</w:t>
      </w:r>
      <w:r>
        <w:t xml:space="preserve"> resetting, and completion reporting</w:t>
      </w:r>
      <w:r w:rsidR="00A818B3">
        <w:t xml:space="preserve"> for </w:t>
      </w:r>
      <w:r w:rsidR="00376242">
        <w:t>Survey Monuments</w:t>
      </w:r>
      <w:r>
        <w:t>.</w:t>
      </w:r>
      <w:r w:rsidR="00835F3C">
        <w:t xml:space="preserve"> </w:t>
      </w:r>
      <w:r w:rsidR="00B55DF9">
        <w:t xml:space="preserve">Survey </w:t>
      </w:r>
      <w:r w:rsidR="00D22C41">
        <w:t>R</w:t>
      </w:r>
      <w:r w:rsidR="00B55DF9">
        <w:t xml:space="preserve">ecording </w:t>
      </w:r>
      <w:r w:rsidR="00D22C41">
        <w:t>A</w:t>
      </w:r>
      <w:r w:rsidR="00B55DF9">
        <w:t>ct.</w:t>
      </w:r>
    </w:p>
    <w:p w14:paraId="5F72417D" w14:textId="77777777" w:rsidR="008B6DD9" w:rsidRDefault="008B6DD9" w:rsidP="008B6DD9">
      <w:pPr>
        <w:rPr>
          <w:b/>
          <w:sz w:val="48"/>
          <w:szCs w:val="48"/>
        </w:rPr>
      </w:pPr>
    </w:p>
    <w:p w14:paraId="3D4732C6" w14:textId="77777777" w:rsidR="008B6DD9" w:rsidRPr="008B6DD9" w:rsidRDefault="008B6DD9" w:rsidP="008B6DD9">
      <w:pPr>
        <w:rPr>
          <w:b/>
          <w:sz w:val="48"/>
          <w:szCs w:val="48"/>
        </w:rPr>
      </w:pPr>
    </w:p>
    <w:sectPr w:rsidR="008B6DD9" w:rsidRPr="008B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D9"/>
    <w:rsid w:val="000216A1"/>
    <w:rsid w:val="000A7B71"/>
    <w:rsid w:val="000B3534"/>
    <w:rsid w:val="000C2FC9"/>
    <w:rsid w:val="000C59D1"/>
    <w:rsid w:val="000D5F73"/>
    <w:rsid w:val="000F094B"/>
    <w:rsid w:val="00130593"/>
    <w:rsid w:val="0015062A"/>
    <w:rsid w:val="001E0730"/>
    <w:rsid w:val="001F4FBF"/>
    <w:rsid w:val="0025025F"/>
    <w:rsid w:val="002C3C24"/>
    <w:rsid w:val="002F1991"/>
    <w:rsid w:val="00300C3E"/>
    <w:rsid w:val="003642DF"/>
    <w:rsid w:val="00375725"/>
    <w:rsid w:val="00376242"/>
    <w:rsid w:val="00406EFD"/>
    <w:rsid w:val="00486FC4"/>
    <w:rsid w:val="004A211B"/>
    <w:rsid w:val="00540AB2"/>
    <w:rsid w:val="00566F12"/>
    <w:rsid w:val="00571DA6"/>
    <w:rsid w:val="005A399A"/>
    <w:rsid w:val="005D5447"/>
    <w:rsid w:val="00603F6A"/>
    <w:rsid w:val="0063331C"/>
    <w:rsid w:val="006563F2"/>
    <w:rsid w:val="006F0F1C"/>
    <w:rsid w:val="006F10C8"/>
    <w:rsid w:val="006F57CE"/>
    <w:rsid w:val="00724480"/>
    <w:rsid w:val="00733C33"/>
    <w:rsid w:val="007A3531"/>
    <w:rsid w:val="007C3372"/>
    <w:rsid w:val="007D003D"/>
    <w:rsid w:val="007F29BF"/>
    <w:rsid w:val="00835F3C"/>
    <w:rsid w:val="008568E2"/>
    <w:rsid w:val="008B6A49"/>
    <w:rsid w:val="008B6DD9"/>
    <w:rsid w:val="008D58AE"/>
    <w:rsid w:val="00974988"/>
    <w:rsid w:val="009A0355"/>
    <w:rsid w:val="009D27FB"/>
    <w:rsid w:val="00A0325E"/>
    <w:rsid w:val="00A26DE2"/>
    <w:rsid w:val="00A818B3"/>
    <w:rsid w:val="00B11DDD"/>
    <w:rsid w:val="00B4253F"/>
    <w:rsid w:val="00B55DF9"/>
    <w:rsid w:val="00BA70BE"/>
    <w:rsid w:val="00BC4F72"/>
    <w:rsid w:val="00BD389C"/>
    <w:rsid w:val="00BF262C"/>
    <w:rsid w:val="00C234DF"/>
    <w:rsid w:val="00C301EB"/>
    <w:rsid w:val="00C53013"/>
    <w:rsid w:val="00C92546"/>
    <w:rsid w:val="00CE1F7A"/>
    <w:rsid w:val="00D07F80"/>
    <w:rsid w:val="00D10128"/>
    <w:rsid w:val="00D15B57"/>
    <w:rsid w:val="00D22C41"/>
    <w:rsid w:val="00D22D13"/>
    <w:rsid w:val="00E2586C"/>
    <w:rsid w:val="00E34ACF"/>
    <w:rsid w:val="00E35D93"/>
    <w:rsid w:val="00E55420"/>
    <w:rsid w:val="00E83930"/>
    <w:rsid w:val="00EC2A03"/>
    <w:rsid w:val="00ED4910"/>
    <w:rsid w:val="00EE3219"/>
    <w:rsid w:val="00EF0CCF"/>
    <w:rsid w:val="00F14CF9"/>
    <w:rsid w:val="00F361C6"/>
    <w:rsid w:val="00F37ADC"/>
    <w:rsid w:val="00F47321"/>
    <w:rsid w:val="00F6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7927"/>
  <w15:chartTrackingRefBased/>
  <w15:docId w15:val="{686D2FB6-2C49-458F-85E4-F6E4775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leg.wa.gov/wac/default.aspx?cite=332-120&amp;full=true" TargetMode="External"/><Relationship Id="rId5" Type="http://schemas.openxmlformats.org/officeDocument/2006/relationships/hyperlink" Target="https://app.leg.wa.gov/RCW/default.aspx?cite=36.86.050" TargetMode="External"/><Relationship Id="rId4" Type="http://schemas.openxmlformats.org/officeDocument/2006/relationships/hyperlink" Target="https://app.leg.wa.gov/RCW/default.aspx?cite=58.24.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Pohle</dc:creator>
  <cp:keywords/>
  <dc:description/>
  <cp:lastModifiedBy>Pohle, Derek (CRAB)</cp:lastModifiedBy>
  <cp:revision>75</cp:revision>
  <cp:lastPrinted>2019-02-28T17:15:00Z</cp:lastPrinted>
  <dcterms:created xsi:type="dcterms:W3CDTF">2019-02-12T23:03:00Z</dcterms:created>
  <dcterms:modified xsi:type="dcterms:W3CDTF">2022-02-08T00:25:00Z</dcterms:modified>
</cp:coreProperties>
</file>